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A6" w:rsidRDefault="005314A6" w:rsidP="005314A6">
      <w:pPr>
        <w:jc w:val="center"/>
        <w:rPr>
          <w:b/>
          <w:sz w:val="36"/>
          <w:szCs w:val="36"/>
        </w:rPr>
      </w:pPr>
      <w:r w:rsidRPr="00AA6EBE">
        <w:rPr>
          <w:rFonts w:hint="eastAsia"/>
          <w:b/>
          <w:sz w:val="36"/>
          <w:szCs w:val="36"/>
        </w:rPr>
        <w:t>电气与光电工程学院课程学分认定办法</w:t>
      </w:r>
    </w:p>
    <w:p w:rsidR="0034524C" w:rsidRDefault="005314A6" w:rsidP="0034524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50A53">
        <w:rPr>
          <w:rFonts w:ascii="宋体" w:hAnsi="宋体" w:hint="eastAsia"/>
          <w:b/>
          <w:sz w:val="36"/>
          <w:szCs w:val="36"/>
        </w:rPr>
        <w:t>试行</w:t>
      </w:r>
      <w:r>
        <w:rPr>
          <w:rFonts w:ascii="宋体" w:hAnsi="宋体" w:hint="eastAsia"/>
          <w:b/>
          <w:sz w:val="36"/>
          <w:szCs w:val="36"/>
        </w:rPr>
        <w:t>稿</w:t>
      </w:r>
      <w:r>
        <w:rPr>
          <w:rFonts w:hint="eastAsia"/>
          <w:b/>
          <w:sz w:val="36"/>
          <w:szCs w:val="36"/>
        </w:rPr>
        <w:t>）</w:t>
      </w:r>
    </w:p>
    <w:p w:rsidR="005314A6" w:rsidRPr="00AA6EBE" w:rsidRDefault="005314A6" w:rsidP="00950A53">
      <w:pPr>
        <w:pStyle w:val="a5"/>
        <w:spacing w:before="0" w:beforeAutospacing="0" w:after="0" w:afterAutospacing="0"/>
        <w:ind w:firstLineChars="200" w:firstLine="480"/>
      </w:pPr>
      <w:r w:rsidRPr="00AA6EBE">
        <w:rPr>
          <w:rFonts w:hint="eastAsia"/>
        </w:rPr>
        <w:t>为适应复合型人才培养需要，激励和调动学生学习积极性，保证人才培养质量，规范</w:t>
      </w:r>
      <w:r>
        <w:rPr>
          <w:rFonts w:hint="eastAsia"/>
        </w:rPr>
        <w:t>学院</w:t>
      </w:r>
      <w:r w:rsidRPr="00AA6EBE">
        <w:rPr>
          <w:rFonts w:hint="eastAsia"/>
        </w:rPr>
        <w:t>学生转专业、转学和出国交流学习的课程学分管理，根据《常州工学院学分制管理规定（试行）》</w:t>
      </w:r>
      <w:r>
        <w:rPr>
          <w:rFonts w:hint="eastAsia"/>
        </w:rPr>
        <w:t>（</w:t>
      </w:r>
      <w:r w:rsidRPr="00AA6EBE">
        <w:rPr>
          <w:rFonts w:hint="eastAsia"/>
        </w:rPr>
        <w:t>常工政教</w:t>
      </w:r>
      <w:r>
        <w:rPr>
          <w:rFonts w:hint="eastAsia"/>
        </w:rPr>
        <w:t>[</w:t>
      </w:r>
      <w:r w:rsidRPr="00AA6EBE">
        <w:rPr>
          <w:rFonts w:hint="eastAsia"/>
        </w:rPr>
        <w:t>2011</w:t>
      </w:r>
      <w:r>
        <w:rPr>
          <w:rFonts w:hint="eastAsia"/>
        </w:rPr>
        <w:t>]</w:t>
      </w:r>
      <w:r w:rsidRPr="00AA6EBE">
        <w:rPr>
          <w:rFonts w:hint="eastAsia"/>
        </w:rPr>
        <w:t>9号</w:t>
      </w:r>
      <w:r>
        <w:rPr>
          <w:rFonts w:hint="eastAsia"/>
        </w:rPr>
        <w:t>文）</w:t>
      </w:r>
      <w:r w:rsidRPr="00AA6EBE">
        <w:rPr>
          <w:rFonts w:hint="eastAsia"/>
        </w:rPr>
        <w:t>、《学籍异动学生选课指南》</w:t>
      </w:r>
      <w:r>
        <w:rPr>
          <w:rFonts w:hint="eastAsia"/>
        </w:rPr>
        <w:t>（</w:t>
      </w:r>
      <w:r w:rsidRPr="00AA6EBE">
        <w:rPr>
          <w:rFonts w:hint="eastAsia"/>
        </w:rPr>
        <w:t>院教通</w:t>
      </w:r>
      <w:r>
        <w:rPr>
          <w:rFonts w:hint="eastAsia"/>
        </w:rPr>
        <w:t>[</w:t>
      </w:r>
      <w:r w:rsidRPr="00AA6EBE">
        <w:rPr>
          <w:rFonts w:hint="eastAsia"/>
        </w:rPr>
        <w:t>2012</w:t>
      </w:r>
      <w:r>
        <w:rPr>
          <w:rFonts w:hint="eastAsia"/>
        </w:rPr>
        <w:t>]</w:t>
      </w:r>
      <w:r w:rsidRPr="00AA6EBE">
        <w:rPr>
          <w:rFonts w:hint="eastAsia"/>
        </w:rPr>
        <w:t>8</w:t>
      </w:r>
      <w:r>
        <w:rPr>
          <w:rFonts w:hint="eastAsia"/>
        </w:rPr>
        <w:t>号文）</w:t>
      </w:r>
      <w:r w:rsidRPr="00AA6EBE">
        <w:rPr>
          <w:rFonts w:hint="eastAsia"/>
        </w:rPr>
        <w:t>和《常州工学院课程重修管理规定（试行）》</w:t>
      </w:r>
      <w:r>
        <w:rPr>
          <w:rFonts w:hint="eastAsia"/>
        </w:rPr>
        <w:t>（</w:t>
      </w:r>
      <w:r w:rsidRPr="00AA6EBE">
        <w:rPr>
          <w:rFonts w:hint="eastAsia"/>
        </w:rPr>
        <w:t>院教</w:t>
      </w:r>
      <w:r>
        <w:rPr>
          <w:rFonts w:hint="eastAsia"/>
        </w:rPr>
        <w:t>[</w:t>
      </w:r>
      <w:r w:rsidRPr="00AA6EBE">
        <w:rPr>
          <w:rFonts w:hint="eastAsia"/>
        </w:rPr>
        <w:t>2012</w:t>
      </w:r>
      <w:r>
        <w:rPr>
          <w:rFonts w:hint="eastAsia"/>
        </w:rPr>
        <w:t>]</w:t>
      </w:r>
      <w:r w:rsidRPr="00AA6EBE">
        <w:rPr>
          <w:rFonts w:hint="eastAsia"/>
        </w:rPr>
        <w:t>6号</w:t>
      </w:r>
      <w:r>
        <w:rPr>
          <w:rFonts w:hint="eastAsia"/>
        </w:rPr>
        <w:t>文）</w:t>
      </w:r>
      <w:r w:rsidRPr="00AA6EBE">
        <w:rPr>
          <w:rFonts w:hint="eastAsia"/>
        </w:rPr>
        <w:t>等教学管理制度，特制定本办法。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一、认定对象</w:t>
      </w:r>
    </w:p>
    <w:p w:rsidR="005314A6" w:rsidRPr="00AD31A7" w:rsidRDefault="005314A6" w:rsidP="005314A6">
      <w:pPr>
        <w:pStyle w:val="a5"/>
        <w:spacing w:before="0" w:beforeAutospacing="0" w:after="0" w:afterAutospacing="0"/>
        <w:ind w:firstLineChars="200" w:firstLine="480"/>
      </w:pPr>
      <w:r w:rsidRPr="00AD31A7">
        <w:rPr>
          <w:rFonts w:hint="eastAsia"/>
        </w:rPr>
        <w:t>学分认定是指将学生已修的学分</w:t>
      </w:r>
      <w:r w:rsidRPr="00950A53">
        <w:rPr>
          <w:rFonts w:hint="eastAsia"/>
        </w:rPr>
        <w:t>认</w:t>
      </w:r>
      <w:r w:rsidR="00950A53" w:rsidRPr="00950A53">
        <w:rPr>
          <w:rFonts w:hint="eastAsia"/>
        </w:rPr>
        <w:t>定</w:t>
      </w:r>
      <w:r w:rsidRPr="00950A53">
        <w:rPr>
          <w:rFonts w:hint="eastAsia"/>
        </w:rPr>
        <w:t>为</w:t>
      </w:r>
      <w:r w:rsidRPr="00AD31A7">
        <w:rPr>
          <w:rFonts w:hint="eastAsia"/>
        </w:rPr>
        <w:t>现行培养计划承认的学分的过程。以下学生将进行课程学分的认定。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1.学籍异动的学生。</w:t>
      </w:r>
    </w:p>
    <w:p w:rsidR="005314A6" w:rsidRPr="00AD31A7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指</w:t>
      </w:r>
      <w:r w:rsidRPr="00AD31A7">
        <w:rPr>
          <w:rFonts w:hint="eastAsia"/>
        </w:rPr>
        <w:t>转入我校学习的学生、校内转专业的学生和发生其他学籍异动的学生。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 w:rsidRPr="00AD31A7">
        <w:rPr>
          <w:rFonts w:hint="eastAsia"/>
        </w:rPr>
        <w:t>2.由学校指派到</w:t>
      </w:r>
      <w:r>
        <w:rPr>
          <w:rFonts w:hint="eastAsia"/>
        </w:rPr>
        <w:t>国（境）外</w:t>
      </w:r>
      <w:r w:rsidRPr="00AD31A7">
        <w:rPr>
          <w:rFonts w:hint="eastAsia"/>
        </w:rPr>
        <w:t>参加交流培训的学生。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二、认定原则</w:t>
      </w:r>
    </w:p>
    <w:p w:rsidR="005314A6" w:rsidRPr="00F57A3A" w:rsidRDefault="005314A6" w:rsidP="005314A6">
      <w:pPr>
        <w:pStyle w:val="a5"/>
        <w:spacing w:before="0" w:beforeAutospacing="0" w:after="0" w:afterAutospacing="0"/>
        <w:ind w:firstLineChars="200" w:firstLine="480"/>
      </w:pPr>
      <w:r w:rsidRPr="00F57A3A">
        <w:t>1</w:t>
      </w:r>
      <w:r w:rsidRPr="00F57A3A">
        <w:rPr>
          <w:rFonts w:hint="eastAsia"/>
        </w:rPr>
        <w:t>、学籍异动的</w:t>
      </w:r>
      <w:r>
        <w:rPr>
          <w:rFonts w:hint="eastAsia"/>
        </w:rPr>
        <w:t>学生</w:t>
      </w:r>
      <w:r w:rsidRPr="00F57A3A">
        <w:rPr>
          <w:rFonts w:hint="eastAsia"/>
        </w:rPr>
        <w:t>：</w:t>
      </w:r>
    </w:p>
    <w:p w:rsidR="005314A6" w:rsidRPr="00F57A3A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（1）</w:t>
      </w:r>
      <w:r w:rsidRPr="00F57A3A">
        <w:rPr>
          <w:rFonts w:hint="eastAsia"/>
        </w:rPr>
        <w:t>若已修课程的学时数≥现行培养计划相应课程的学时数的</w:t>
      </w:r>
      <w:r w:rsidRPr="00F57A3A">
        <w:t>90%</w:t>
      </w:r>
      <w:r w:rsidRPr="00F57A3A">
        <w:rPr>
          <w:rFonts w:hint="eastAsia"/>
        </w:rPr>
        <w:t>，予以确认学分；</w:t>
      </w:r>
    </w:p>
    <w:p w:rsidR="005314A6" w:rsidRPr="00F57A3A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（2）</w:t>
      </w:r>
      <w:r w:rsidRPr="00F57A3A">
        <w:rPr>
          <w:rFonts w:hint="eastAsia"/>
        </w:rPr>
        <w:t>若已修课程的学时数＜现行培养计划相应课程的学时数的</w:t>
      </w:r>
      <w:r w:rsidRPr="00F57A3A">
        <w:t>90%</w:t>
      </w:r>
      <w:r w:rsidRPr="00F57A3A">
        <w:rPr>
          <w:rFonts w:hint="eastAsia"/>
        </w:rPr>
        <w:t>，可按相关规定申请免修</w:t>
      </w:r>
      <w:r>
        <w:rPr>
          <w:rFonts w:hint="eastAsia"/>
        </w:rPr>
        <w:t>，直接参加</w:t>
      </w:r>
      <w:r w:rsidRPr="00F57A3A">
        <w:rPr>
          <w:rFonts w:hint="eastAsia"/>
        </w:rPr>
        <w:t>考试，也可参加课程的全过程学习。</w:t>
      </w:r>
    </w:p>
    <w:p w:rsidR="005314A6" w:rsidRPr="00F57A3A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（3）</w:t>
      </w:r>
      <w:r w:rsidRPr="00F57A3A">
        <w:rPr>
          <w:rFonts w:hint="eastAsia"/>
        </w:rPr>
        <w:t>若已修课程未列入现行培养计划的课程学分，</w:t>
      </w:r>
      <w:r>
        <w:rPr>
          <w:rFonts w:hint="eastAsia"/>
        </w:rPr>
        <w:t>可</w:t>
      </w:r>
      <w:r w:rsidRPr="00F57A3A">
        <w:rPr>
          <w:rFonts w:hint="eastAsia"/>
        </w:rPr>
        <w:t>记入通识教育选修课程学分；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（4）转入的</w:t>
      </w:r>
      <w:r w:rsidRPr="00F57A3A">
        <w:rPr>
          <w:rFonts w:hint="eastAsia"/>
        </w:rPr>
        <w:t>班级已完成学年中，现行培养计划中有，但</w:t>
      </w:r>
      <w:r>
        <w:rPr>
          <w:rFonts w:hint="eastAsia"/>
        </w:rPr>
        <w:t>学生</w:t>
      </w:r>
      <w:r w:rsidRPr="00F57A3A">
        <w:rPr>
          <w:rFonts w:hint="eastAsia"/>
        </w:rPr>
        <w:t>未修的课程应补修。</w:t>
      </w:r>
    </w:p>
    <w:p w:rsidR="005314A6" w:rsidRPr="00F57A3A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（5）课程名称不同但相近，则需比对教学内容，若教学内容相同点</w:t>
      </w:r>
      <w:r w:rsidRPr="00F57A3A">
        <w:rPr>
          <w:rFonts w:hint="eastAsia"/>
        </w:rPr>
        <w:t>≥</w:t>
      </w:r>
      <w:r>
        <w:rPr>
          <w:rFonts w:hint="eastAsia"/>
        </w:rPr>
        <w:t>90%，</w:t>
      </w:r>
      <w:r w:rsidRPr="00F57A3A">
        <w:rPr>
          <w:rFonts w:hint="eastAsia"/>
        </w:rPr>
        <w:t>予以确认学分；</w:t>
      </w:r>
      <w:r>
        <w:rPr>
          <w:rFonts w:hint="eastAsia"/>
        </w:rPr>
        <w:t>若教学内容相同点在60～90%，</w:t>
      </w:r>
      <w:r w:rsidRPr="00F57A3A">
        <w:rPr>
          <w:rFonts w:hint="eastAsia"/>
        </w:rPr>
        <w:t>可按相关规定申请免修</w:t>
      </w:r>
      <w:r>
        <w:rPr>
          <w:rFonts w:hint="eastAsia"/>
        </w:rPr>
        <w:t>，直接参加考试；若教学内容相同点</w:t>
      </w:r>
      <w:r w:rsidRPr="00F57A3A">
        <w:rPr>
          <w:rFonts w:hint="eastAsia"/>
        </w:rPr>
        <w:t>＜</w:t>
      </w:r>
      <w:r>
        <w:rPr>
          <w:rFonts w:hint="eastAsia"/>
        </w:rPr>
        <w:t>60%，则不予认定。</w:t>
      </w:r>
    </w:p>
    <w:p w:rsidR="005314A6" w:rsidRPr="00950A53" w:rsidRDefault="005314A6" w:rsidP="005314A6">
      <w:pPr>
        <w:pStyle w:val="a5"/>
        <w:spacing w:before="0" w:beforeAutospacing="0" w:after="0" w:afterAutospacing="0"/>
        <w:ind w:firstLineChars="200" w:firstLine="480"/>
      </w:pPr>
      <w:r w:rsidRPr="00950A53">
        <w:rPr>
          <w:rFonts w:hint="eastAsia"/>
        </w:rPr>
        <w:t>2、国（境）外交流培训的学生：</w:t>
      </w:r>
    </w:p>
    <w:p w:rsidR="005314A6" w:rsidRPr="00950A53" w:rsidRDefault="005314A6" w:rsidP="005314A6">
      <w:pPr>
        <w:pStyle w:val="a5"/>
        <w:spacing w:before="0" w:beforeAutospacing="0" w:after="0" w:afterAutospacing="0"/>
        <w:ind w:firstLineChars="200" w:firstLine="480"/>
      </w:pPr>
      <w:r w:rsidRPr="00950A53">
        <w:rPr>
          <w:rFonts w:hint="eastAsia"/>
        </w:rPr>
        <w:t>（1）其在国（境）外高校修得的学分，可以根据具体课程及内容认定为相应的专业课或专业基础课学分；若有剩余学分，则可认定为公选课学分（最多2学分）、创新学分（最多2学分）和综合素质学分（最多1学分）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（2）国（境）外交流培训期间，本班课程未能修读，且国（境）外的学分无法认定替代的课程，则必须进行补修。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三、认定程序</w:t>
      </w:r>
    </w:p>
    <w:p w:rsidR="005314A6" w:rsidRPr="00950A53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1.学生向学院提出申请，</w:t>
      </w:r>
      <w:r w:rsidRPr="00950A53">
        <w:rPr>
          <w:rFonts w:hint="eastAsia"/>
        </w:rPr>
        <w:t>填写《电气与光电工程学院国际交流学生课程学分认定申请表》或《电气与光电工程学院学籍异动学生课程学分认定申请表》，并提交相关成绩证明（原则上需持有修读课程所在学校教务处盖有公章的成绩单）。</w:t>
      </w:r>
    </w:p>
    <w:p w:rsidR="005314A6" w:rsidRDefault="005314A6" w:rsidP="005314A6">
      <w:pPr>
        <w:pStyle w:val="a5"/>
        <w:spacing w:before="0" w:beforeAutospacing="0" w:after="0" w:afterAutospacing="0"/>
        <w:ind w:firstLineChars="200" w:firstLine="480"/>
      </w:pPr>
      <w:r>
        <w:rPr>
          <w:rFonts w:hint="eastAsia"/>
        </w:rPr>
        <w:t>2.专业系审核，根据培养方案规定的课程以及学生修读课程的内容进行审核，提出认定意见，递交学院审批。</w:t>
      </w:r>
    </w:p>
    <w:p w:rsidR="00950A53" w:rsidRDefault="005314A6" w:rsidP="005314A6">
      <w:pPr>
        <w:pStyle w:val="a5"/>
        <w:spacing w:before="0" w:beforeAutospacing="0" w:after="0" w:afterAutospacing="0"/>
        <w:ind w:firstLineChars="200" w:firstLine="480"/>
        <w:rPr>
          <w:rFonts w:hint="eastAsia"/>
        </w:rPr>
      </w:pPr>
      <w:r>
        <w:rPr>
          <w:rFonts w:hint="eastAsia"/>
        </w:rPr>
        <w:t>3.学院审核通过后，由学院对认定结果进行汇总归档，负责有关的课程重修安排，并通知到学生。</w:t>
      </w:r>
    </w:p>
    <w:p w:rsidR="005314A6" w:rsidRDefault="00950A53" w:rsidP="00950A53">
      <w:pPr>
        <w:pStyle w:val="a5"/>
        <w:spacing w:before="0" w:beforeAutospacing="0" w:after="0" w:afterAutospacing="0"/>
        <w:ind w:firstLineChars="200" w:firstLine="480"/>
        <w:jc w:val="right"/>
      </w:pPr>
      <w:r>
        <w:rPr>
          <w:rFonts w:hint="eastAsia"/>
        </w:rPr>
        <w:t>二零一六年一月</w:t>
      </w:r>
      <w:r w:rsidR="005314A6">
        <w:br w:type="page"/>
      </w:r>
    </w:p>
    <w:p w:rsidR="005314A6" w:rsidRDefault="005314A6" w:rsidP="005314A6">
      <w:pPr>
        <w:pStyle w:val="a5"/>
        <w:spacing w:before="0" w:beforeAutospacing="0" w:after="0" w:afterAutospacing="0"/>
      </w:pPr>
      <w:r>
        <w:rPr>
          <w:rFonts w:hint="eastAsia"/>
        </w:rPr>
        <w:lastRenderedPageBreak/>
        <w:t>附件1</w:t>
      </w:r>
    </w:p>
    <w:tbl>
      <w:tblPr>
        <w:tblW w:w="10302" w:type="dxa"/>
        <w:tblInd w:w="-450" w:type="dxa"/>
        <w:tblLook w:val="04A0"/>
      </w:tblPr>
      <w:tblGrid>
        <w:gridCol w:w="1322"/>
        <w:gridCol w:w="928"/>
        <w:gridCol w:w="435"/>
        <w:gridCol w:w="710"/>
        <w:gridCol w:w="1145"/>
        <w:gridCol w:w="2659"/>
        <w:gridCol w:w="2290"/>
        <w:gridCol w:w="369"/>
        <w:gridCol w:w="222"/>
        <w:gridCol w:w="222"/>
      </w:tblGrid>
      <w:tr w:rsidR="005314A6" w:rsidRPr="000864E9" w:rsidTr="00A72892">
        <w:trPr>
          <w:gridAfter w:val="3"/>
          <w:wAfter w:w="813" w:type="dxa"/>
          <w:trHeight w:val="510"/>
        </w:trPr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0864E9"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>常州工学院电气与光电工程学院国际交流学生课程学分认定申请表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49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班级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交流学校名称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交流起止时间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4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交流期间修读课程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申请认定类别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申请认定学分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学分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成绩 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40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学生意见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6B4953" w:rsidP="00A7289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8.05pt;margin-top:17pt;width:0;height:144.75pt;z-index:251660288;mso-position-horizontal-relative:text;mso-position-vertical-relative:text" o:connectortype="straight"/>
              </w:pict>
            </w:r>
            <w:r w:rsidR="005314A6"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签章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专业系意见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签章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t>二级学院</w:t>
            </w:r>
            <w:r w:rsidRPr="000864E9">
              <w:rPr>
                <w:rFonts w:ascii="宋体" w:eastAsia="宋体" w:hAnsi="宋体" w:cs="宋体" w:hint="eastAsia"/>
                <w:b/>
                <w:bCs/>
                <w:szCs w:val="21"/>
              </w:rPr>
              <w:br/>
              <w:t>意见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 w:rsidRPr="000864E9">
              <w:rPr>
                <w:rFonts w:ascii="宋体" w:eastAsia="宋体" w:hAnsi="宋体" w:cs="宋体" w:hint="eastAsia"/>
                <w:szCs w:val="21"/>
              </w:rPr>
              <w:t xml:space="preserve">   年   月     日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签章</w:t>
            </w: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>备注：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14A6" w:rsidRPr="000864E9" w:rsidTr="00A72892">
        <w:trPr>
          <w:gridAfter w:val="3"/>
          <w:wAfter w:w="813" w:type="dxa"/>
          <w:trHeight w:val="360"/>
        </w:trPr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>1.申请认定类别指:专业课、专业基础课、公选课、创新创业、综合素质</w:t>
            </w:r>
          </w:p>
        </w:tc>
      </w:tr>
      <w:tr w:rsidR="005314A6" w:rsidRPr="000864E9" w:rsidTr="00A72892">
        <w:trPr>
          <w:trHeight w:val="360"/>
        </w:trPr>
        <w:tc>
          <w:tcPr>
            <w:tcW w:w="10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</w:rPr>
            </w:pPr>
            <w:r w:rsidRPr="000864E9">
              <w:rPr>
                <w:rFonts w:ascii="宋体" w:eastAsia="宋体" w:hAnsi="宋体" w:cs="宋体" w:hint="eastAsia"/>
              </w:rPr>
              <w:t>2.请学生对照现专业培养计划作好课程免修申请，妥善保存该表,毕业资格认定时备查。</w:t>
            </w:r>
          </w:p>
        </w:tc>
      </w:tr>
      <w:tr w:rsidR="005314A6" w:rsidRPr="000864E9" w:rsidTr="00A72892">
        <w:trPr>
          <w:trHeight w:val="405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4A6" w:rsidRPr="000864E9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0864E9">
              <w:rPr>
                <w:rFonts w:ascii="宋体" w:eastAsia="宋体" w:hAnsi="宋体" w:cs="宋体" w:hint="eastAsia"/>
                <w:szCs w:val="21"/>
              </w:rPr>
              <w:t>3.本表一式三份,学生、专业系、二级学院各一份。</w:t>
            </w:r>
          </w:p>
        </w:tc>
        <w:tc>
          <w:tcPr>
            <w:tcW w:w="222" w:type="dxa"/>
            <w:vAlign w:val="center"/>
            <w:hideMark/>
          </w:tcPr>
          <w:p w:rsidR="005314A6" w:rsidRPr="000864E9" w:rsidRDefault="005314A6" w:rsidP="00A7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14A6" w:rsidRPr="000864E9" w:rsidRDefault="005314A6" w:rsidP="00A7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14A6" w:rsidRDefault="005314A6" w:rsidP="005314A6">
      <w:pPr>
        <w:pStyle w:val="a5"/>
        <w:spacing w:before="0" w:beforeAutospacing="0" w:after="0" w:afterAutospacing="0"/>
      </w:pPr>
      <w:r>
        <w:rPr>
          <w:rFonts w:hint="eastAsia"/>
        </w:rPr>
        <w:t>附件2</w:t>
      </w:r>
    </w:p>
    <w:tbl>
      <w:tblPr>
        <w:tblW w:w="10177" w:type="dxa"/>
        <w:tblInd w:w="-743" w:type="dxa"/>
        <w:tblLook w:val="04A0"/>
      </w:tblPr>
      <w:tblGrid>
        <w:gridCol w:w="1134"/>
        <w:gridCol w:w="1135"/>
        <w:gridCol w:w="302"/>
        <w:gridCol w:w="694"/>
        <w:gridCol w:w="694"/>
        <w:gridCol w:w="695"/>
        <w:gridCol w:w="875"/>
        <w:gridCol w:w="142"/>
        <w:gridCol w:w="1340"/>
        <w:gridCol w:w="695"/>
        <w:gridCol w:w="695"/>
        <w:gridCol w:w="1088"/>
        <w:gridCol w:w="244"/>
        <w:gridCol w:w="222"/>
        <w:gridCol w:w="222"/>
      </w:tblGrid>
      <w:tr w:rsidR="005314A6" w:rsidRPr="00887814" w:rsidTr="00A72892">
        <w:trPr>
          <w:gridAfter w:val="3"/>
          <w:wAfter w:w="688" w:type="dxa"/>
          <w:trHeight w:val="478"/>
        </w:trPr>
        <w:tc>
          <w:tcPr>
            <w:tcW w:w="9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887814"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lastRenderedPageBreak/>
              <w:t>常州工学院电气与光电工程学院</w:t>
            </w:r>
            <w:r w:rsidRPr="00950A53"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>学籍异动</w:t>
            </w:r>
            <w:r w:rsidRPr="00887814"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>学生课程学分认定申请表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原专业及年级</w:t>
            </w:r>
          </w:p>
        </w:tc>
        <w:tc>
          <w:tcPr>
            <w:tcW w:w="38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现专业及年级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学籍异动原因</w:t>
            </w:r>
          </w:p>
        </w:tc>
        <w:tc>
          <w:tcPr>
            <w:tcW w:w="722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免修课程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原专业修读课程 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现专业对应课程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314A6" w:rsidRPr="000743C5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0743C5">
              <w:rPr>
                <w:rFonts w:ascii="宋体" w:eastAsia="宋体" w:hAnsi="宋体" w:cs="宋体" w:hint="eastAsia"/>
                <w:color w:val="FF0000"/>
                <w:szCs w:val="21"/>
              </w:rPr>
              <w:t>专业系认定意见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学时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学分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成绩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学时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学分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szCs w:val="21"/>
              </w:rPr>
              <w:t xml:space="preserve">课程认定　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重修\补修课程</w:t>
            </w:r>
          </w:p>
        </w:tc>
        <w:tc>
          <w:tcPr>
            <w:tcW w:w="7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申请重修\补修的课程 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学时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原成绩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 学分 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0743C5" w:rsidRDefault="00950A53" w:rsidP="00A72892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专业系意见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5314A6" w:rsidRPr="00887814" w:rsidTr="00A72892">
        <w:trPr>
          <w:gridAfter w:val="3"/>
          <w:wAfter w:w="688" w:type="dxa"/>
          <w:trHeight w:val="126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签章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950A53" w:rsidP="00A72892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t>二级学院</w:t>
            </w:r>
            <w:r w:rsidRPr="00887814">
              <w:rPr>
                <w:rFonts w:ascii="宋体" w:eastAsia="宋体" w:hAnsi="宋体" w:cs="宋体" w:hint="eastAsia"/>
                <w:b/>
                <w:bCs/>
                <w:szCs w:val="21"/>
              </w:rPr>
              <w:br/>
              <w:t>意见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right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5314A6" w:rsidRPr="00887814" w:rsidTr="00A72892">
        <w:trPr>
          <w:gridAfter w:val="3"/>
          <w:wAfter w:w="688" w:type="dxa"/>
          <w:trHeight w:val="6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83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签章</w:t>
            </w: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  <w:r w:rsidRPr="00887814">
              <w:rPr>
                <w:rFonts w:ascii="宋体" w:eastAsia="宋体" w:hAnsi="宋体" w:cs="宋体" w:hint="eastAsia"/>
                <w:szCs w:val="21"/>
              </w:rPr>
              <w:t>备注：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14A6" w:rsidRPr="00887814" w:rsidTr="00A72892">
        <w:trPr>
          <w:gridAfter w:val="3"/>
          <w:wAfter w:w="688" w:type="dxa"/>
          <w:trHeight w:val="338"/>
        </w:trPr>
        <w:tc>
          <w:tcPr>
            <w:tcW w:w="9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950A53" w:rsidRDefault="005314A6" w:rsidP="00A7289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950A53">
              <w:rPr>
                <w:rFonts w:ascii="宋体" w:eastAsia="宋体" w:hAnsi="宋体" w:cs="宋体" w:hint="eastAsia"/>
                <w:szCs w:val="21"/>
              </w:rPr>
              <w:t>1.</w:t>
            </w:r>
            <w:r w:rsidR="00950A53">
              <w:rPr>
                <w:rFonts w:ascii="宋体" w:eastAsia="宋体" w:hAnsi="宋体" w:cs="宋体" w:hint="eastAsia"/>
                <w:szCs w:val="21"/>
              </w:rPr>
              <w:t>专业系认定意见</w:t>
            </w:r>
            <w:r w:rsidRPr="00950A53">
              <w:rPr>
                <w:rFonts w:ascii="宋体" w:eastAsia="宋体" w:hAnsi="宋体" w:cs="宋体" w:hint="eastAsia"/>
                <w:szCs w:val="21"/>
              </w:rPr>
              <w:t>指:直接认定、考试后认定，由专业系填写。</w:t>
            </w:r>
          </w:p>
          <w:p w:rsidR="005314A6" w:rsidRPr="00950A53" w:rsidRDefault="005314A6" w:rsidP="00950A53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950A53">
              <w:rPr>
                <w:rFonts w:ascii="宋体" w:eastAsia="宋体" w:hAnsi="宋体" w:cs="宋体" w:hint="eastAsia"/>
                <w:szCs w:val="21"/>
              </w:rPr>
              <w:t>2.学籍异动原因包括：</w:t>
            </w:r>
            <w:r w:rsidR="00950A53" w:rsidRPr="00950A53">
              <w:rPr>
                <w:rFonts w:ascii="宋体" w:eastAsia="宋体" w:hAnsi="宋体" w:cs="宋体" w:hint="eastAsia"/>
                <w:szCs w:val="21"/>
              </w:rPr>
              <w:t>转级</w:t>
            </w:r>
            <w:r w:rsidRPr="00950A53">
              <w:rPr>
                <w:rFonts w:ascii="宋体" w:eastAsia="宋体" w:hAnsi="宋体" w:cs="宋体" w:hint="eastAsia"/>
                <w:szCs w:val="21"/>
              </w:rPr>
              <w:t>、转专业、复学</w:t>
            </w:r>
            <w:r w:rsidR="00950A53" w:rsidRPr="00950A53">
              <w:rPr>
                <w:rFonts w:ascii="宋体" w:eastAsia="宋体" w:hAnsi="宋体" w:cs="宋体" w:hint="eastAsia"/>
                <w:szCs w:val="21"/>
              </w:rPr>
              <w:t>、</w:t>
            </w:r>
            <w:r w:rsidRPr="00950A53">
              <w:rPr>
                <w:rFonts w:ascii="宋体" w:eastAsia="宋体" w:hAnsi="宋体" w:cs="宋体" w:hint="eastAsia"/>
                <w:szCs w:val="21"/>
              </w:rPr>
              <w:t>参军等。</w:t>
            </w:r>
          </w:p>
        </w:tc>
      </w:tr>
      <w:tr w:rsidR="005314A6" w:rsidRPr="00887814" w:rsidTr="00A72892">
        <w:trPr>
          <w:trHeight w:val="338"/>
        </w:trPr>
        <w:tc>
          <w:tcPr>
            <w:tcW w:w="9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spacing w:line="28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 w:rsidRPr="00887814">
              <w:rPr>
                <w:rFonts w:ascii="宋体" w:eastAsia="宋体" w:hAnsi="宋体" w:cs="宋体" w:hint="eastAsia"/>
              </w:rPr>
              <w:t>.请学生对照现专业培养计划作好课程免修申请，妥善保存该表,毕业资格认定时备查。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A6" w:rsidRPr="00887814" w:rsidRDefault="005314A6" w:rsidP="00A72892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314A6" w:rsidRPr="00887814" w:rsidTr="00A72892">
        <w:trPr>
          <w:trHeight w:val="338"/>
        </w:trPr>
        <w:tc>
          <w:tcPr>
            <w:tcW w:w="97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4A6" w:rsidRPr="00887814" w:rsidRDefault="005314A6" w:rsidP="00A7289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 w:rsidRPr="00887814">
              <w:rPr>
                <w:rFonts w:ascii="宋体" w:eastAsia="宋体" w:hAnsi="宋体" w:cs="宋体" w:hint="eastAsia"/>
                <w:szCs w:val="21"/>
              </w:rPr>
              <w:t>.因学分差异必须重修的课程或需要补修的课程，随每学期开学的“重（补）报名”一起进行。</w:t>
            </w:r>
          </w:p>
        </w:tc>
        <w:tc>
          <w:tcPr>
            <w:tcW w:w="222" w:type="dxa"/>
            <w:vAlign w:val="center"/>
            <w:hideMark/>
          </w:tcPr>
          <w:p w:rsidR="005314A6" w:rsidRPr="00887814" w:rsidRDefault="005314A6" w:rsidP="00A7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14A6" w:rsidRPr="00887814" w:rsidRDefault="005314A6" w:rsidP="00A7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4A6" w:rsidRPr="00887814" w:rsidTr="00A72892">
        <w:trPr>
          <w:trHeight w:val="379"/>
        </w:trPr>
        <w:tc>
          <w:tcPr>
            <w:tcW w:w="97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4A6" w:rsidRPr="00887814" w:rsidRDefault="005314A6" w:rsidP="00A7289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887814">
              <w:rPr>
                <w:rFonts w:ascii="宋体" w:eastAsia="宋体" w:hAnsi="宋体" w:cs="宋体" w:hint="eastAsia"/>
                <w:szCs w:val="21"/>
              </w:rPr>
              <w:t>.本表一式三份,学生、专业系、二级学院各一份。</w:t>
            </w:r>
          </w:p>
        </w:tc>
        <w:tc>
          <w:tcPr>
            <w:tcW w:w="222" w:type="dxa"/>
            <w:vAlign w:val="center"/>
            <w:hideMark/>
          </w:tcPr>
          <w:p w:rsidR="005314A6" w:rsidRPr="00887814" w:rsidRDefault="005314A6" w:rsidP="00A7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314A6" w:rsidRPr="00887814" w:rsidRDefault="005314A6" w:rsidP="00A7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14A6" w:rsidRPr="002C5908" w:rsidRDefault="005314A6" w:rsidP="00950A53">
      <w:pPr>
        <w:pStyle w:val="a5"/>
        <w:spacing w:before="0" w:beforeAutospacing="0" w:after="0" w:afterAutospacing="0"/>
      </w:pPr>
    </w:p>
    <w:sectPr w:rsidR="005314A6" w:rsidRPr="002C5908" w:rsidSect="00950A5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D9" w:rsidRDefault="00975BD9" w:rsidP="005314A6">
      <w:pPr>
        <w:spacing w:after="0"/>
      </w:pPr>
      <w:r>
        <w:separator/>
      </w:r>
    </w:p>
  </w:endnote>
  <w:endnote w:type="continuationSeparator" w:id="1">
    <w:p w:rsidR="00975BD9" w:rsidRDefault="00975BD9" w:rsidP="005314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D9" w:rsidRDefault="00975BD9" w:rsidP="005314A6">
      <w:pPr>
        <w:spacing w:after="0"/>
      </w:pPr>
      <w:r>
        <w:separator/>
      </w:r>
    </w:p>
  </w:footnote>
  <w:footnote w:type="continuationSeparator" w:id="1">
    <w:p w:rsidR="00975BD9" w:rsidRDefault="00975BD9" w:rsidP="005314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4524C"/>
    <w:rsid w:val="003D37D8"/>
    <w:rsid w:val="00426133"/>
    <w:rsid w:val="004358AB"/>
    <w:rsid w:val="005314A6"/>
    <w:rsid w:val="006B4953"/>
    <w:rsid w:val="0070346A"/>
    <w:rsid w:val="008B7726"/>
    <w:rsid w:val="00950A53"/>
    <w:rsid w:val="00975BD9"/>
    <w:rsid w:val="00D31D50"/>
    <w:rsid w:val="00F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4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4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4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4A6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5314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2016-02-23T08:29:00Z</dcterms:created>
  <dcterms:modified xsi:type="dcterms:W3CDTF">2016-02-23T08:29:00Z</dcterms:modified>
</cp:coreProperties>
</file>